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B360F" w:rsidRPr="007B360F" w:rsidTr="007B360F">
        <w:trPr>
          <w:jc w:val="center"/>
        </w:trPr>
        <w:tc>
          <w:tcPr>
            <w:tcW w:w="5000" w:type="pct"/>
            <w:tcBorders>
              <w:top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2"/>
            </w:tblGrid>
            <w:tr w:rsidR="007B360F" w:rsidRPr="007B360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7B360F" w:rsidRPr="007B360F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7B360F" w:rsidRPr="007B360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7B360F" w:rsidRPr="007B360F" w:rsidRDefault="007B360F" w:rsidP="007B360F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bookmarkStart w:id="0" w:name="_GoBack"/>
                              <w:r w:rsidRPr="007B360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Veranstaltungen des Konfuzius-Instituts zur CHINA TIME 2016 </w:t>
                              </w:r>
                              <w:bookmarkEnd w:id="0"/>
                            </w:p>
                          </w:tc>
                        </w:tr>
                      </w:tbl>
                      <w:p w:rsidR="007B360F" w:rsidRPr="007B360F" w:rsidRDefault="007B360F" w:rsidP="007B36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7B360F" w:rsidRPr="007B360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7B360F" w:rsidRPr="007B360F" w:rsidRDefault="007B360F" w:rsidP="007B360F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hyperlink r:id="rId4" w:tgtFrame="_blank" w:history="1">
                                <w:r w:rsidRPr="007B360F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 xml:space="preserve">Diese E-Mail im Browser </w:t>
                                </w:r>
                                <w:proofErr w:type="gramStart"/>
                                <w:r w:rsidRPr="007B360F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anzeigen</w:t>
                                </w:r>
                                <w:proofErr w:type="gramEnd"/>
                              </w:hyperlink>
                              <w:r w:rsidRPr="007B360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7B360F" w:rsidRPr="007B360F" w:rsidRDefault="007B360F" w:rsidP="007B36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7B360F" w:rsidRPr="007B360F" w:rsidRDefault="007B360F" w:rsidP="007B3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7B360F" w:rsidRPr="007B360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7B360F" w:rsidRPr="007B360F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09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95"/>
                        </w:tblGrid>
                        <w:tr w:rsidR="007B360F" w:rsidRPr="007B360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7B360F" w:rsidRPr="007B360F" w:rsidRDefault="007B360F" w:rsidP="007B36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7B360F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de-DE"/>
                                </w:rPr>
                                <w:drawing>
                                  <wp:inline distT="0" distB="0" distL="0" distR="0">
                                    <wp:extent cx="2514600" cy="655320"/>
                                    <wp:effectExtent l="0" t="0" r="0" b="0"/>
                                    <wp:docPr id="7" name="Grafik 7" descr="https://gallery.mailchimp.com/bcdebf7d5cc97dd5f5fb96daa/images/4782e46e-5cef-462f-8ad2-52018c8f2cfd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gallery.mailchimp.com/bcdebf7d5cc97dd5f5fb96daa/images/4782e46e-5cef-462f-8ad2-52018c8f2cfd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14600" cy="655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409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95"/>
                        </w:tblGrid>
                        <w:tr w:rsidR="007B360F" w:rsidRPr="007B360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7B360F" w:rsidRPr="007B360F" w:rsidRDefault="007B360F" w:rsidP="007B36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7B360F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de-DE"/>
                                </w:rPr>
                                <w:drawing>
                                  <wp:inline distT="0" distB="0" distL="0" distR="0">
                                    <wp:extent cx="2514600" cy="647700"/>
                                    <wp:effectExtent l="0" t="0" r="0" b="0"/>
                                    <wp:docPr id="6" name="Grafik 6" descr="https://gallery.mailchimp.com/bcdebf7d5cc97dd5f5fb96daa/images/7cd82284-98f3-4f67-b087-8a839648397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s://gallery.mailchimp.com/bcdebf7d5cc97dd5f5fb96daa/images/7cd82284-98f3-4f67-b087-8a839648397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14600" cy="647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B360F" w:rsidRPr="007B360F" w:rsidRDefault="007B360F" w:rsidP="007B36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7B360F" w:rsidRPr="007B360F" w:rsidRDefault="007B360F" w:rsidP="007B3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7B360F" w:rsidRPr="007B360F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7B360F" w:rsidRPr="007B360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7B360F" w:rsidRPr="007B360F" w:rsidRDefault="007B360F" w:rsidP="007B360F">
                              <w:pPr>
                                <w:spacing w:before="150" w:after="15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7B360F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Die CHINA TIME 2016 steht ganz im Zeichen von SECRET SOUNDS und gibt Anlass zu diesem Sondernewsletter. Im Herzen der Stadt findet bei uns im Konfuzius-Institut Hamburg die gleichnamige Ausstellung statt. Von früher bis heute nimmt die </w:t>
                              </w:r>
                              <w:hyperlink r:id="rId7" w:tgtFrame="_blank" w:history="1">
                                <w:r w:rsidRPr="007B360F">
                                  <w:rPr>
                                    <w:rFonts w:ascii="Helvetica" w:eastAsia="Times New Roman" w:hAnsi="Helvetica" w:cs="Helvetica"/>
                                    <w:b/>
                                    <w:bCs/>
                                    <w:color w:val="009900"/>
                                    <w:sz w:val="24"/>
                                    <w:szCs w:val="24"/>
                                    <w:u w:val="single"/>
                                    <w:lang w:eastAsia="de-DE"/>
                                  </w:rPr>
                                  <w:t>SECRET-SOUNDS-Ausstellung</w:t>
                                </w:r>
                              </w:hyperlink>
                              <w:r w:rsidRPr="007B360F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 Sie mit auf eine Reise voller geheimnisvoller Klänge und erhellender Erläuterungen zur chinesischen Musikkultur. Die Musikausstellung ist </w:t>
                              </w:r>
                              <w:r w:rsidRPr="007B360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>vom 7. bis 27. November</w:t>
                              </w:r>
                              <w:r w:rsidRPr="007B360F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täglich von 14:00 bis 18:00 Uhr geöffnet. Am </w:t>
                              </w:r>
                              <w:r w:rsidRPr="007B360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>27. November</w:t>
                              </w:r>
                              <w:r w:rsidRPr="007B360F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findet um 10:30 Uhr eine </w:t>
                              </w:r>
                              <w:r w:rsidRPr="007B360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>Finissage</w:t>
                              </w:r>
                              <w:r w:rsidRPr="007B360F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zur Ausstellung statt.</w:t>
                              </w:r>
                              <w:r w:rsidRPr="007B360F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br/>
                              </w:r>
                              <w:r w:rsidRPr="007B360F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br/>
                                <w:t xml:space="preserve">In Ergänzung zur Musikausstellung bieten wir eine Reihe verschiedener </w:t>
                              </w:r>
                              <w:r w:rsidRPr="007B360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>Workshops</w:t>
                              </w:r>
                              <w:r w:rsidRPr="007B360F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, </w:t>
                              </w:r>
                              <w:r w:rsidRPr="007B360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Konzerte </w:t>
                              </w:r>
                              <w:r w:rsidRPr="007B360F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>und anderer Veranstaltungen an, sodass Sie je nach Lust und Laune tiefer in die Welt der SECRET SOUNDS von China eintauchen können. Das</w:t>
                              </w:r>
                              <w:r w:rsidRPr="007B360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internationale </w:t>
                              </w:r>
                              <w:hyperlink r:id="rId8" w:tgtFrame="_blank" w:history="1">
                                <w:r w:rsidRPr="007B360F">
                                  <w:rPr>
                                    <w:rFonts w:ascii="Helvetica" w:eastAsia="Times New Roman" w:hAnsi="Helvetica" w:cs="Helvetica"/>
                                    <w:b/>
                                    <w:bCs/>
                                    <w:color w:val="009900"/>
                                    <w:sz w:val="24"/>
                                    <w:szCs w:val="24"/>
                                    <w:u w:val="single"/>
                                    <w:lang w:eastAsia="de-DE"/>
                                  </w:rPr>
                                  <w:t>CHIME Symposium</w:t>
                                </w:r>
                              </w:hyperlink>
                              <w:r w:rsidRPr="007B360F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bietet darüber hinaus vertiefende Beiträge und Podiumsdiskussionen zum Schwerpunktthema „</w:t>
                              </w:r>
                              <w:r w:rsidRPr="007B360F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>Music Education in China</w:t>
                              </w:r>
                              <w:r w:rsidRPr="007B360F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>“, sowie Workshops und eine Matinee mit seinen hochkarätigen Teilnehmern aus ganz China. Eine Übersicht unserer Veranstaltungen zur CHINA TIME finden Sie untenstehend.</w:t>
                              </w:r>
                            </w:p>
                          </w:tc>
                        </w:tr>
                      </w:tbl>
                      <w:p w:rsidR="007B360F" w:rsidRPr="007B360F" w:rsidRDefault="007B360F" w:rsidP="007B36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7B360F" w:rsidRPr="007B360F" w:rsidRDefault="007B360F" w:rsidP="007B3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7B360F" w:rsidRPr="007B360F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09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95"/>
                        </w:tblGrid>
                        <w:tr w:rsidR="007B360F" w:rsidRPr="007B360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7B360F" w:rsidRPr="007B360F" w:rsidRDefault="007B360F" w:rsidP="007B36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7B360F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de-DE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1760220" cy="2438400"/>
                                    <wp:effectExtent l="0" t="0" r="0" b="0"/>
                                    <wp:docPr id="5" name="Grafik 5" descr="https://gallery.mailchimp.com/bcdebf7d5cc97dd5f5fb96daa/images/01fda20e-60a5-425d-9f15-58ff4db03633.jpg">
                                      <a:hlinkClick xmlns:a="http://schemas.openxmlformats.org/drawingml/2006/main" r:id="rId9" tgtFrame="&quot;_blank&quot;" tooltip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https://gallery.mailchimp.com/bcdebf7d5cc97dd5f5fb96daa/images/01fda20e-60a5-425d-9f15-58ff4db03633.jpg">
                                              <a:hlinkClick r:id="rId9" tgtFrame="&quot;_blank&quot;" tooltip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60220" cy="2438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409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95"/>
                        </w:tblGrid>
                        <w:tr w:rsidR="007B360F" w:rsidRPr="007B360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W w:w="396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7B360F" w:rsidRPr="007B360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B360F" w:rsidRPr="007B360F" w:rsidRDefault="007B360F" w:rsidP="007B360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B360F" w:rsidRPr="007B360F" w:rsidRDefault="007B360F" w:rsidP="007B36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7B360F" w:rsidRPr="007B360F" w:rsidRDefault="007B360F" w:rsidP="007B36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7B360F" w:rsidRPr="007B360F" w:rsidRDefault="007B360F" w:rsidP="007B3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7B360F" w:rsidRPr="007B360F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AEAEA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2"/>
                        </w:tblGrid>
                        <w:tr w:rsidR="007B360F" w:rsidRPr="007B360F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B360F" w:rsidRPr="007B360F" w:rsidRDefault="007B360F" w:rsidP="007B36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7B360F" w:rsidRPr="007B360F" w:rsidRDefault="007B360F" w:rsidP="007B36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7B360F" w:rsidRPr="007B360F" w:rsidRDefault="007B360F" w:rsidP="007B3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7B360F" w:rsidRPr="007B360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hideMark/>
                </w:tcPr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7B360F" w:rsidRPr="007B360F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7B360F" w:rsidRPr="007B360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7B360F" w:rsidRPr="007B360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7B360F" w:rsidRPr="007B360F" w:rsidRDefault="007B360F" w:rsidP="007B360F">
                                    <w:pPr>
                                      <w:spacing w:after="0" w:line="300" w:lineRule="auto"/>
                                      <w:outlineLvl w:val="0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kern w:val="36"/>
                                        <w:sz w:val="39"/>
                                        <w:szCs w:val="39"/>
                                        <w:lang w:eastAsia="de-DE"/>
                                      </w:rPr>
                                    </w:pPr>
                                    <w:r w:rsidRPr="007B360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kern w:val="36"/>
                                        <w:sz w:val="39"/>
                                        <w:szCs w:val="39"/>
                                        <w:lang w:eastAsia="de-DE"/>
                                      </w:rPr>
                                      <w:lastRenderedPageBreak/>
                                      <w:t>Konzerte</w:t>
                                    </w:r>
                                  </w:p>
                                </w:tc>
                              </w:tr>
                            </w:tbl>
                            <w:p w:rsidR="007B360F" w:rsidRPr="007B360F" w:rsidRDefault="007B360F" w:rsidP="007B36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7B360F" w:rsidRPr="007B360F" w:rsidRDefault="007B360F" w:rsidP="007B36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7B360F" w:rsidRPr="007B360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7B360F" w:rsidRPr="007B360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7B360F" w:rsidRPr="007B360F" w:rsidRDefault="007B360F" w:rsidP="007B360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1" w:tgtFrame="_blank" w:history="1">
                                      <w:r w:rsidRPr="007B360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 xml:space="preserve">Ensemble </w:t>
                                      </w:r>
                                      <w:proofErr w:type="spellStart"/>
                                      <w:r w:rsidRPr="007B360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ConTempo</w:t>
                                      </w:r>
                                      <w:proofErr w:type="spellEnd"/>
                                      <w:r w:rsidRPr="007B360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 xml:space="preserve"> Beijing</w:t>
                                      </w:r>
                                    </w:hyperlink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:</w:t>
                                    </w:r>
                                    <w:r w:rsidRPr="007B360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Das renommierte Ensemble führt in Klangwelten aus alter und neuer Zeit ein und erörtert im moderierten Gespräch.</w:t>
                                    </w:r>
                                    <w:r w:rsidRPr="007B360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10.11.2016, 19:30 Uhr</w:t>
                                    </w:r>
                                    <w:r w:rsidRPr="007B360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7B360F" w:rsidRPr="007B360F" w:rsidRDefault="007B360F" w:rsidP="007B36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7B360F" w:rsidRPr="007B360F" w:rsidRDefault="007B360F" w:rsidP="007B36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7B360F" w:rsidRPr="007B360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7B360F" w:rsidRPr="007B360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B360F" w:rsidRPr="007B360F" w:rsidRDefault="007B360F" w:rsidP="007B360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B360F" w:rsidRPr="007B360F" w:rsidRDefault="007B360F" w:rsidP="007B36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7B360F" w:rsidRPr="007B360F" w:rsidRDefault="007B360F" w:rsidP="007B36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7B360F" w:rsidRPr="007B360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7B360F" w:rsidRPr="007B360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7B360F" w:rsidRPr="007B360F" w:rsidRDefault="007B360F" w:rsidP="007B360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2" w:tgtFrame="_blank" w:history="1">
                                      <w:r w:rsidRPr="007B360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"</w:t>
                                      </w:r>
                                      <w:proofErr w:type="spellStart"/>
                                      <w:r w:rsidRPr="007B360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Yuanshan</w:t>
                                      </w:r>
                                      <w:proofErr w:type="spellEnd"/>
                                      <w:r w:rsidRPr="007B360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 xml:space="preserve"> World Music Band"</w:t>
                                      </w:r>
                                    </w:hyperlink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:</w:t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Die noch junge Band bringt frischen Wind nach Hamburg und lädt auch das Publikum zum Mitspielen und Ausprobieren ein.</w:t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12.11.2016, 20:00 Uhr</w:t>
                                    </w:r>
                                    <w:r w:rsidRPr="007B360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7B360F" w:rsidRPr="007B360F" w:rsidRDefault="007B360F" w:rsidP="007B36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7B360F" w:rsidRPr="007B360F" w:rsidRDefault="007B360F" w:rsidP="007B36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7B360F" w:rsidRPr="007B360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7B360F" w:rsidRPr="007B360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B360F" w:rsidRPr="007B360F" w:rsidRDefault="007B360F" w:rsidP="007B360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B360F" w:rsidRPr="007B360F" w:rsidRDefault="007B360F" w:rsidP="007B36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7B360F" w:rsidRPr="007B360F" w:rsidRDefault="007B360F" w:rsidP="007B36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7B360F" w:rsidRPr="007B360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7B360F" w:rsidRPr="007B360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7B360F" w:rsidRPr="007B360F" w:rsidRDefault="007B360F" w:rsidP="007B360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3" w:tgtFrame="_blank" w:history="1">
                                      <w:r w:rsidRPr="007B360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SECRET SOUNDS: Neue Musik und China...</w:t>
                                      </w:r>
                                    </w:hyperlink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:</w:t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Das 4. Teehauskonzert präsentiert die Ergebnisse des Kompositionswettbewerbs am Piano.</w:t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19.11.2016, 19:00 Uhr</w:t>
                                    </w:r>
                                    <w:r w:rsidRPr="007B360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7B360F" w:rsidRPr="007B360F" w:rsidRDefault="007B360F" w:rsidP="007B36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7B360F" w:rsidRPr="007B360F" w:rsidRDefault="007B360F" w:rsidP="007B36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7B360F" w:rsidRPr="007B360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7B360F" w:rsidRPr="007B360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B360F" w:rsidRPr="007B360F" w:rsidRDefault="007B360F" w:rsidP="007B360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B360F" w:rsidRPr="007B360F" w:rsidRDefault="007B360F" w:rsidP="007B36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7B360F" w:rsidRPr="007B360F" w:rsidRDefault="007B360F" w:rsidP="007B36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7B360F" w:rsidRPr="007B360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7B360F" w:rsidRPr="007B360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7B360F" w:rsidRPr="007B360F" w:rsidRDefault="007B360F" w:rsidP="007B360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4" w:tgtFrame="_blank" w:history="1">
                                      <w:r w:rsidRPr="007B360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"</w:t>
                                      </w:r>
                                      <w:proofErr w:type="spellStart"/>
                                      <w:r w:rsidRPr="007B360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Jinling</w:t>
                                      </w:r>
                                      <w:proofErr w:type="spellEnd"/>
                                      <w:r w:rsidRPr="007B360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 xml:space="preserve"> Dragon World Music Band"</w:t>
                                      </w:r>
                                    </w:hyperlink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:</w:t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Das Jazz-Ensemble aus Nanjing spielt gemeinsam mit Hamburger Musikern Stücke und </w:t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>Improvisationen.</w:t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22.11.2016, 20:00 Uhr</w:t>
                                    </w:r>
                                    <w:r w:rsidRPr="007B360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7B360F" w:rsidRPr="007B360F" w:rsidRDefault="007B360F" w:rsidP="007B36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7B360F" w:rsidRPr="007B360F" w:rsidRDefault="007B360F" w:rsidP="007B36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7B360F" w:rsidRPr="007B360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7B360F" w:rsidRPr="007B360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B360F" w:rsidRPr="007B360F" w:rsidRDefault="007B360F" w:rsidP="007B360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B360F" w:rsidRPr="007B360F" w:rsidRDefault="007B360F" w:rsidP="007B36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7B360F" w:rsidRPr="007B360F" w:rsidRDefault="007B360F" w:rsidP="007B36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7B360F" w:rsidRPr="007B360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7B360F" w:rsidRPr="007B360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7B360F" w:rsidRPr="007B360F" w:rsidRDefault="007B360F" w:rsidP="007B360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5" w:tgtFrame="_blank" w:history="1">
                                      <w:r w:rsidRPr="007B360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Gala-Konzert in der St. Johanniskirche</w:t>
                                      </w:r>
                                    </w:hyperlink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:</w:t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Dozenten und Studierende aus Shanghai und Hamburg spielen klassische und neue Stücke aus China und Europa. </w:t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17.11.2016, 19:30 Uhr</w:t>
                                    </w:r>
                                    <w:r w:rsidRPr="007B360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7B360F" w:rsidRPr="007B360F" w:rsidRDefault="007B360F" w:rsidP="007B36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7B360F" w:rsidRPr="007B360F" w:rsidRDefault="007B360F" w:rsidP="007B36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7B360F" w:rsidRPr="007B360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7B360F" w:rsidRPr="007B360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B360F" w:rsidRPr="007B360F" w:rsidRDefault="007B360F" w:rsidP="007B360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B360F" w:rsidRPr="007B360F" w:rsidRDefault="007B360F" w:rsidP="007B36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7B360F" w:rsidRPr="007B360F" w:rsidRDefault="007B360F" w:rsidP="007B36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7B360F" w:rsidRPr="007B360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7B360F" w:rsidRPr="007B360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7B360F" w:rsidRPr="007B360F" w:rsidRDefault="007B360F" w:rsidP="007B360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6" w:tgtFrame="_blank" w:history="1">
                                      <w:r w:rsidRPr="007B360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Wandelkonzert im Museum für Kunst und Gewerbe</w:t>
                                      </w:r>
                                    </w:hyperlink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:</w:t>
                                    </w:r>
                                    <w:r w:rsidRPr="007B360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Vertrautes und Exotisches: Sonaten mit Chinoiserien, Bach auf der </w:t>
                                    </w:r>
                                    <w:proofErr w:type="spellStart"/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Erhu</w:t>
                                    </w:r>
                                    <w:proofErr w:type="spellEnd"/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, Puccini aus Shanghai.</w:t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18.11.2016, 19:30 Uhr</w:t>
                                    </w:r>
                                    <w:r w:rsidRPr="007B360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7B360F" w:rsidRPr="007B360F" w:rsidRDefault="007B360F" w:rsidP="007B36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7B360F" w:rsidRPr="007B360F" w:rsidRDefault="007B360F" w:rsidP="007B36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7B360F" w:rsidRPr="007B360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7B360F" w:rsidRPr="007B360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7B360F" w:rsidRPr="007B360F" w:rsidRDefault="007B360F" w:rsidP="007B360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7" w:tgtFrame="_blank" w:history="1">
                                      <w:r w:rsidRPr="007B360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Besuchen Sie auch diese Konzerte bei unseren Partnern</w:t>
                                      </w:r>
                                    </w:hyperlink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:</w:t>
                                    </w:r>
                                    <w:r w:rsidRPr="007B360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Secret Sounds: Feierabendkonzert im Oberhafen | </w:t>
                                    </w:r>
                                    <w:r w:rsidRPr="007B360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Halle 424, </w:t>
                                    </w:r>
                                    <w:proofErr w:type="spellStart"/>
                                    <w:r w:rsidRPr="007B360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Stockmeyerstraße</w:t>
                                    </w:r>
                                    <w:proofErr w:type="spellEnd"/>
                                    <w:r w:rsidRPr="007B360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43, Tor 24, 20457 Hamburg</w:t>
                                    </w:r>
                                    <w:r w:rsidRPr="007B360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23.11.2016, 18:00 Uhr</w:t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Secret Sounds: 358. Lunchkonzert | </w:t>
                                    </w:r>
                                    <w:r w:rsidRPr="007B360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Handelskammer Hamburg</w:t>
                                    </w:r>
                                    <w:r w:rsidRPr="007B360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17.11.2016, 12:30</w:t>
                                    </w:r>
                                    <w:r w:rsidRPr="007B360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7B360F" w:rsidRPr="007B360F" w:rsidRDefault="007B360F" w:rsidP="007B36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7B360F" w:rsidRPr="007B360F" w:rsidRDefault="007B360F" w:rsidP="007B36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7B360F" w:rsidRPr="007B360F" w:rsidRDefault="007B360F" w:rsidP="007B3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7B360F" w:rsidRPr="007B360F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7B360F" w:rsidRPr="007B360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7B360F" w:rsidRPr="007B360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7B360F" w:rsidRPr="007B360F" w:rsidRDefault="007B360F" w:rsidP="007B360F">
                                    <w:pPr>
                                      <w:spacing w:after="0" w:line="300" w:lineRule="auto"/>
                                      <w:outlineLvl w:val="0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kern w:val="36"/>
                                        <w:sz w:val="39"/>
                                        <w:szCs w:val="39"/>
                                        <w:lang w:eastAsia="de-DE"/>
                                      </w:rPr>
                                    </w:pPr>
                                    <w:r w:rsidRPr="007B360F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kern w:val="36"/>
                                        <w:sz w:val="39"/>
                                        <w:szCs w:val="39"/>
                                        <w:lang w:eastAsia="de-DE"/>
                                      </w:rPr>
                                      <w:t>Workshops</w:t>
                                    </w:r>
                                  </w:p>
                                </w:tc>
                              </w:tr>
                            </w:tbl>
                            <w:p w:rsidR="007B360F" w:rsidRPr="007B360F" w:rsidRDefault="007B360F" w:rsidP="007B36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7B360F" w:rsidRPr="007B360F" w:rsidRDefault="007B360F" w:rsidP="007B36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7B360F" w:rsidRPr="007B360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7B360F" w:rsidRPr="007B360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7B360F" w:rsidRPr="007B360F" w:rsidRDefault="007B360F" w:rsidP="007B360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8" w:tgtFrame="_blank" w:history="1">
                                      <w:r w:rsidRPr="007B360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CHIME Workshop on Music Education</w:t>
                                      </w:r>
                                    </w:hyperlink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:</w:t>
                                    </w:r>
                                    <w:r w:rsidRPr="007B360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Vielseitige Vorträge und Workshops zur Musik und </w:t>
                                    </w:r>
                                    <w:proofErr w:type="spellStart"/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muskalischen</w:t>
                                    </w:r>
                                    <w:proofErr w:type="spellEnd"/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Erziehung in China.</w:t>
                                    </w:r>
                                    <w:r w:rsidRPr="007B360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17. bis 20. November</w:t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Das volle Programm finden Sie </w:t>
                                    </w:r>
                                    <w:hyperlink r:id="rId19" w:tgtFrame="_blank" w:history="1">
                                      <w:r w:rsidRPr="007B360F">
                                        <w:rPr>
                                          <w:rFonts w:ascii="Helvetica" w:eastAsia="Times New Roman" w:hAnsi="Helvetica" w:cs="Helvetica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hier</w:t>
                                      </w:r>
                                    </w:hyperlink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</w:t>
                                    </w:r>
                                    <w:r w:rsidRPr="007B360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7B360F" w:rsidRPr="007B360F" w:rsidRDefault="007B360F" w:rsidP="007B36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7B360F" w:rsidRPr="007B360F" w:rsidRDefault="007B360F" w:rsidP="007B36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7B360F" w:rsidRPr="007B360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7B360F" w:rsidRPr="007B360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7B360F" w:rsidRPr="007B360F" w:rsidRDefault="007B360F" w:rsidP="007B360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0" w:tgtFrame="_blank" w:history="1">
                                      <w:r w:rsidRPr="007B360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Workshops zur Musikausstellung</w:t>
                                      </w:r>
                                    </w:hyperlink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:</w:t>
                                    </w:r>
                                    <w:r w:rsidRPr="007B360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Basisworkshops, die auf lehrreiche Weise Einblick in die chinesische Musikkultur geben.</w:t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Termine: </w:t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13.11.2016, 15:45 - 18:00 Uhr</w:t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14.11.2016, 15:45 - 18:00 Uhr</w:t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20.11.2016, 15:45 - 18:00 Uhr</w:t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25.11.2016, 15:45 - 18:00 Uhr</w:t>
                                    </w:r>
                                    <w:r w:rsidRPr="007B360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7B360F" w:rsidRPr="007B360F" w:rsidRDefault="007B360F" w:rsidP="007B36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7B360F" w:rsidRPr="007B360F" w:rsidRDefault="007B360F" w:rsidP="007B36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7B360F" w:rsidRPr="007B360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7B360F" w:rsidRPr="007B360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B360F" w:rsidRPr="007B360F" w:rsidRDefault="007B360F" w:rsidP="007B360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B360F" w:rsidRPr="007B360F" w:rsidRDefault="007B360F" w:rsidP="007B36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7B360F" w:rsidRPr="007B360F" w:rsidRDefault="007B360F" w:rsidP="007B36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7B360F" w:rsidRPr="007B360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7B360F" w:rsidRPr="007B360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7B360F" w:rsidRPr="007B360F" w:rsidRDefault="007B360F" w:rsidP="007B360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1" w:history="1">
                                      <w:r w:rsidRPr="007B360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Instrumenten-Workshops</w:t>
                                      </w:r>
                                    </w:hyperlink>
                                    <w:hyperlink r:id="rId22" w:history="1">
                                      <w:r w:rsidRPr="007B360F">
                                        <w:rPr>
                                          <w:rFonts w:ascii="Arial" w:eastAsia="Times New Roman" w:hAnsi="Arial" w:cs="Arial"/>
                                          <w:color w:val="2BAADF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:</w:t>
                                      </w:r>
                                    </w:hyperlink>
                                    <w:r w:rsidRPr="007B360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Lernen Sie unter Anleitung von namhaften Meistern, auf traditionellen Instrumenten zu spielen. Keine Vorkenntnisse erforderlich.</w:t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Guzheng</w:t>
                                    </w:r>
                                    <w:proofErr w:type="spellEnd"/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: 15.11.2016, 16:15 Uhr</w:t>
                                    </w:r>
                                    <w:r w:rsidRPr="007B360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Guqin</w:t>
                                    </w:r>
                                    <w:proofErr w:type="spellEnd"/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: 21.11.2016, 16:15 Uhr</w:t>
                                    </w:r>
                                    <w:r w:rsidRPr="007B360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Erhu</w:t>
                                    </w:r>
                                    <w:proofErr w:type="spellEnd"/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: 23.11.2016, 16:15 Uhr</w:t>
                                    </w:r>
                                    <w:r w:rsidRPr="007B360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7B360F" w:rsidRPr="007B360F" w:rsidRDefault="007B360F" w:rsidP="007B36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7B360F" w:rsidRPr="007B360F" w:rsidRDefault="007B360F" w:rsidP="007B36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7B360F" w:rsidRPr="007B360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7B360F" w:rsidRPr="007B360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B360F" w:rsidRPr="007B360F" w:rsidRDefault="007B360F" w:rsidP="007B360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B360F" w:rsidRPr="007B360F" w:rsidRDefault="007B360F" w:rsidP="007B36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7B360F" w:rsidRPr="007B360F" w:rsidRDefault="007B360F" w:rsidP="007B36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7B360F" w:rsidRPr="007B360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7B360F" w:rsidRPr="007B360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7B360F" w:rsidRPr="007B360F" w:rsidRDefault="007B360F" w:rsidP="007B360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3" w:tgtFrame="_blank" w:history="1">
                                      <w:r w:rsidRPr="007B360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Workshops in der Zentralbibliothek</w:t>
                                      </w:r>
                                    </w:hyperlink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:</w:t>
                                    </w:r>
                                    <w:r w:rsidRPr="007B360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Kurze Einführungsworkshops in die chinesische Musik und Malerei durch erfahrene Lehrkräfte.</w:t>
                                    </w:r>
                                    <w:r w:rsidRPr="007B360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Musik-Workshop</w:t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:</w:t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10.11.2016, 16:30 Uhr (Hühnerposten)</w:t>
                                    </w:r>
                                    <w:r w:rsidRPr="007B360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Malerei-Workshop</w:t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:</w:t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16.11.2016, 16:30 Uhr (Hühnerposten)</w:t>
                                    </w:r>
                                    <w:r w:rsidRPr="007B360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7B360F" w:rsidRPr="007B360F" w:rsidRDefault="007B360F" w:rsidP="007B36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7B360F" w:rsidRPr="007B360F" w:rsidRDefault="007B360F" w:rsidP="007B36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7B360F" w:rsidRPr="007B360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7B360F" w:rsidRPr="007B360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B360F" w:rsidRPr="007B360F" w:rsidRDefault="007B360F" w:rsidP="007B360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B360F" w:rsidRPr="007B360F" w:rsidRDefault="007B360F" w:rsidP="007B36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7B360F" w:rsidRPr="007B360F" w:rsidRDefault="007B360F" w:rsidP="007B36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7B360F" w:rsidRPr="007B360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7B360F" w:rsidRPr="007B360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7B360F" w:rsidRPr="007B360F" w:rsidRDefault="007B360F" w:rsidP="007B360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4" w:tgtFrame="_blank" w:history="1">
                                      <w:r w:rsidRPr="007B360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Chorprojekt SECRET SOUNDS</w:t>
                                      </w:r>
                                    </w:hyperlink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:</w:t>
                                    </w:r>
                                    <w:r w:rsidRPr="007B360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Alle Singfreudigen sind eingeladen, gemeinsam chinesische Stücke zu proben.</w:t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1. Projekttag: </w:t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12.11.2016, 15:30 - 18:00 Uhr</w:t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>2. Projekttag:</w:t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19.11.2016, 15:30 - 18:00 Uhr</w:t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3. Projekttag:</w:t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26.11.2016, 15:30 - 18:00 Uhr</w:t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4. Vorführung Finissage: </w:t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27.11.2016, 10:30 Uhr</w:t>
                                    </w:r>
                                    <w:r w:rsidRPr="007B360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7B360F" w:rsidRPr="007B360F" w:rsidRDefault="007B360F" w:rsidP="007B36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7B360F" w:rsidRPr="007B360F" w:rsidRDefault="007B360F" w:rsidP="007B36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7B360F" w:rsidRPr="007B360F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7B360F" w:rsidRPr="007B360F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7B360F" w:rsidRPr="007B360F" w:rsidRDefault="007B360F" w:rsidP="007B360F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5" w:tgtFrame="_blank" w:history="1">
                                      <w:r w:rsidRPr="007B360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Erlebnistag China in der Zentralbibliothek</w:t>
                                      </w:r>
                                    </w:hyperlink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:</w:t>
                                    </w:r>
                                    <w:r w:rsidRPr="007B360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Eltern und Kinder erwartet ein buntes Mitmach-Programm mit Scherenschnitten, Kalligrafie und Einführungen in Sprache und Schrift.</w:t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7B360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12.11.2016, 12:00 Uhr</w:t>
                                    </w:r>
                                    <w:r w:rsidRPr="007B360F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7B360F" w:rsidRPr="007B360F" w:rsidRDefault="007B360F" w:rsidP="007B36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7B360F" w:rsidRPr="007B360F" w:rsidRDefault="007B360F" w:rsidP="007B36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7B360F" w:rsidRPr="007B360F" w:rsidRDefault="007B360F" w:rsidP="007B3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7B360F" w:rsidRPr="007B360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single" w:sz="12" w:space="0" w:color="EAEAEA"/>
                  </w:tcBorders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7B360F" w:rsidRPr="007B360F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7B360F" w:rsidRPr="007B360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7B360F" w:rsidRPr="007B360F" w:rsidRDefault="007B360F" w:rsidP="007B360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7B360F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de-DE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5372100" cy="2545080"/>
                                    <wp:effectExtent l="0" t="0" r="0" b="7620"/>
                                    <wp:docPr id="4" name="Grafik 4" descr="https://gallery.mailchimp.com/bcdebf7d5cc97dd5f5fb96daa/images/d04a3b50-53fc-43c2-90aa-4822d899436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https://gallery.mailchimp.com/bcdebf7d5cc97dd5f5fb96daa/images/d04a3b50-53fc-43c2-90aa-4822d899436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25450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B360F" w:rsidRPr="007B360F" w:rsidRDefault="007B360F" w:rsidP="007B36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7B360F" w:rsidRPr="007B360F" w:rsidRDefault="007B360F" w:rsidP="007B3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7B360F" w:rsidRPr="007B360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7B360F" w:rsidRPr="007B360F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7B360F" w:rsidRPr="007B360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32"/>
                              </w:tblGrid>
                              <w:tr w:rsidR="007B360F" w:rsidRPr="007B360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5"/>
                                    </w:tblGrid>
                                    <w:tr w:rsidR="007B360F" w:rsidRPr="007B360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7B360F" w:rsidRPr="007B360F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7B360F" w:rsidRPr="007B360F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7B360F" w:rsidRPr="007B360F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7B360F" w:rsidRPr="007B360F" w:rsidRDefault="007B360F" w:rsidP="007B360F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7B360F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3" name="Grafik 3" descr="https://cdn-images.mailchimp.com/icons/social-block-v2/color-facebook-48.png">
                                                                    <a:hlinkClick xmlns:a="http://schemas.openxmlformats.org/drawingml/2006/main" r:id="rId27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5" descr="https://cdn-images.mailchimp.com/icons/social-block-v2/color-facebook-48.png">
                                                                            <a:hlinkClick r:id="rId27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28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7B360F" w:rsidRPr="007B360F" w:rsidRDefault="007B360F" w:rsidP="007B360F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7B360F" w:rsidRPr="007B360F" w:rsidRDefault="007B360F" w:rsidP="007B360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7B360F" w:rsidRPr="007B360F" w:rsidRDefault="007B360F" w:rsidP="007B360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7B360F" w:rsidRPr="007B360F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7B360F" w:rsidRPr="007B360F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7B360F" w:rsidRPr="007B360F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7B360F" w:rsidRPr="007B360F" w:rsidRDefault="007B360F" w:rsidP="007B360F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7B360F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2" name="Grafik 2" descr="https://cdn-images.mailchimp.com/icons/social-block-v2/color-link-48.png">
                                                                    <a:hlinkClick xmlns:a="http://schemas.openxmlformats.org/drawingml/2006/main" r:id="rId29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6" descr="https://cdn-images.mailchimp.com/icons/social-block-v2/color-link-48.png">
                                                                            <a:hlinkClick r:id="rId29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0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7B360F" w:rsidRPr="007B360F" w:rsidRDefault="007B360F" w:rsidP="007B360F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7B360F" w:rsidRPr="007B360F" w:rsidRDefault="007B360F" w:rsidP="007B360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7B360F" w:rsidRPr="007B360F" w:rsidRDefault="007B360F" w:rsidP="007B360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7B360F" w:rsidRPr="007B360F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7B360F" w:rsidRPr="007B360F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7B360F" w:rsidRPr="007B360F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7B360F" w:rsidRPr="007B360F" w:rsidRDefault="007B360F" w:rsidP="007B360F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7B360F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1" name="Grafik 1" descr="https://cdn-images.mailchimp.com/icons/social-block-v2/color-forwardtofriend-48.png">
                                                                    <a:hlinkClick xmlns:a="http://schemas.openxmlformats.org/drawingml/2006/main" r:id="rId31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7" descr="https://cdn-images.mailchimp.com/icons/social-block-v2/color-forwardtofriend-48.png">
                                                                            <a:hlinkClick r:id="rId31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2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7B360F" w:rsidRPr="007B360F" w:rsidRDefault="007B360F" w:rsidP="007B360F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7B360F" w:rsidRPr="007B360F" w:rsidRDefault="007B360F" w:rsidP="007B360F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7B360F" w:rsidRPr="007B360F" w:rsidRDefault="007B360F" w:rsidP="007B360F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7B360F" w:rsidRPr="007B360F" w:rsidRDefault="007B360F" w:rsidP="007B360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B360F" w:rsidRPr="007B360F" w:rsidRDefault="007B360F" w:rsidP="007B360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7B360F" w:rsidRPr="007B360F" w:rsidRDefault="007B360F" w:rsidP="007B36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7B360F" w:rsidRPr="007B360F" w:rsidRDefault="007B360F" w:rsidP="007B3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7B360F" w:rsidRPr="007B360F">
                    <w:tc>
                      <w:tcPr>
                        <w:tcW w:w="0" w:type="auto"/>
                        <w:tcMar>
                          <w:top w:w="150" w:type="dxa"/>
                          <w:left w:w="270" w:type="dxa"/>
                          <w:bottom w:w="37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EEEEE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2"/>
                        </w:tblGrid>
                        <w:tr w:rsidR="007B360F" w:rsidRPr="007B360F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B360F" w:rsidRPr="007B360F" w:rsidRDefault="007B360F" w:rsidP="007B36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7B360F" w:rsidRPr="007B360F" w:rsidRDefault="007B360F" w:rsidP="007B36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7B360F" w:rsidRPr="007B360F" w:rsidRDefault="007B360F" w:rsidP="007B3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7B360F" w:rsidRPr="007B360F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7B360F" w:rsidRPr="007B360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7B360F" w:rsidRPr="007B360F" w:rsidRDefault="007B360F" w:rsidP="007B360F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7B360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7"/>
                                  <w:szCs w:val="17"/>
                                  <w:lang w:eastAsia="de-DE"/>
                                </w:rPr>
                                <w:t>Konfuzius-Institut an der Universität Hamburg e.V. im Chinesischen Teehaus "Hamburg Yu Garden"</w:t>
                              </w:r>
                              <w:r w:rsidRPr="007B360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7"/>
                                  <w:szCs w:val="17"/>
                                  <w:lang w:eastAsia="de-DE"/>
                                </w:rPr>
                                <w:br/>
                                <w:t>Feldbrunnenstraße 67</w:t>
                              </w:r>
                            </w:p>
                            <w:p w:rsidR="007B360F" w:rsidRPr="007B360F" w:rsidRDefault="007B360F" w:rsidP="007B360F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7B360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7"/>
                                  <w:szCs w:val="17"/>
                                  <w:lang w:eastAsia="de-DE"/>
                                </w:rPr>
                                <w:t>20148 Hamburg</w:t>
                              </w:r>
                            </w:p>
                          </w:tc>
                        </w:tr>
                      </w:tbl>
                      <w:p w:rsidR="007B360F" w:rsidRPr="007B360F" w:rsidRDefault="007B360F" w:rsidP="007B36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7B360F" w:rsidRPr="007B360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7B360F" w:rsidRPr="007B360F" w:rsidRDefault="007B360F" w:rsidP="007B360F">
                              <w:pPr>
                                <w:spacing w:after="0"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7B360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7"/>
                                  <w:szCs w:val="17"/>
                                  <w:lang w:eastAsia="de-DE"/>
                                </w:rPr>
                                <w:t>Tel.: +49-40-42838-7978</w:t>
                              </w:r>
                              <w:r w:rsidRPr="007B360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7"/>
                                  <w:szCs w:val="17"/>
                                  <w:lang w:eastAsia="de-DE"/>
                                </w:rPr>
                                <w:br/>
                                <w:t>Fax: +49-40-42838-7147</w:t>
                              </w:r>
                              <w:r w:rsidRPr="007B360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7"/>
                                  <w:szCs w:val="17"/>
                                  <w:lang w:eastAsia="de-DE"/>
                                </w:rPr>
                                <w:br/>
                                <w:t xml:space="preserve">Bürozeiten: </w:t>
                              </w:r>
                              <w:proofErr w:type="spellStart"/>
                              <w:r w:rsidRPr="007B360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7"/>
                                  <w:szCs w:val="17"/>
                                  <w:lang w:eastAsia="de-DE"/>
                                </w:rPr>
                                <w:t>Mo+Mi</w:t>
                              </w:r>
                              <w:proofErr w:type="spellEnd"/>
                              <w:r w:rsidRPr="007B360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7"/>
                                  <w:szCs w:val="17"/>
                                  <w:lang w:eastAsia="de-DE"/>
                                </w:rPr>
                                <w:t xml:space="preserve">.-Fr. 9.00 – 13.00 Uhr </w:t>
                              </w:r>
                            </w:p>
                          </w:tc>
                        </w:tr>
                      </w:tbl>
                      <w:p w:rsidR="007B360F" w:rsidRPr="007B360F" w:rsidRDefault="007B360F" w:rsidP="007B36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7B360F" w:rsidRPr="007B360F" w:rsidRDefault="007B360F" w:rsidP="007B3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7B360F" w:rsidRPr="007B360F">
                    <w:tc>
                      <w:tcPr>
                        <w:tcW w:w="0" w:type="auto"/>
                        <w:tcMar>
                          <w:top w:w="150" w:type="dxa"/>
                          <w:left w:w="270" w:type="dxa"/>
                          <w:bottom w:w="37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EEEEE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2"/>
                        </w:tblGrid>
                        <w:tr w:rsidR="007B360F" w:rsidRPr="007B360F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B360F" w:rsidRPr="007B360F" w:rsidRDefault="007B360F" w:rsidP="007B36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7B360F" w:rsidRPr="007B360F" w:rsidRDefault="007B360F" w:rsidP="007B36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7B360F" w:rsidRPr="007B360F" w:rsidRDefault="007B360F" w:rsidP="007B3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7B360F" w:rsidRPr="007B360F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7B360F" w:rsidRPr="007B360F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7B360F" w:rsidRPr="007B360F" w:rsidRDefault="007B360F" w:rsidP="007B360F">
                              <w:pPr>
                                <w:spacing w:after="0"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7B360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lastRenderedPageBreak/>
                                <w:br/>
                              </w:r>
                              <w:r w:rsidRPr="007B360F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Copyright © 2016 Konfuzius-Institut an der Universität Hamburg e.V., </w:t>
                              </w:r>
                              <w:r w:rsidRPr="007B360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7B360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Sie wollen diesen Newsletter nicht mehr erhalten?</w:t>
                              </w:r>
                              <w:r w:rsidRPr="007B360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 xml:space="preserve">Sie können ihr Abonnement jederzeit </w:t>
                              </w:r>
                              <w:hyperlink r:id="rId33" w:tgtFrame="_blank" w:history="1">
                                <w:r w:rsidRPr="007B360F">
                                  <w:rPr>
                                    <w:rFonts w:ascii="Helvetica" w:eastAsia="Times New Roman" w:hAnsi="Helvetica" w:cs="Helvetica"/>
                                    <w:color w:val="0099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hier</w:t>
                                </w:r>
                              </w:hyperlink>
                              <w:r w:rsidRPr="007B360F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 beenden. Oder antworten Sie auf diese E-Mail mit der Bitte um Abmeldung. </w:t>
                              </w:r>
                            </w:p>
                          </w:tc>
                        </w:tr>
                      </w:tbl>
                      <w:p w:rsidR="007B360F" w:rsidRPr="007B360F" w:rsidRDefault="007B360F" w:rsidP="007B36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7B360F" w:rsidRPr="007B360F" w:rsidRDefault="007B360F" w:rsidP="007B3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7B360F" w:rsidRPr="007B360F" w:rsidRDefault="007B360F" w:rsidP="007B3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B45957" w:rsidRDefault="007B360F"/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0F"/>
    <w:rsid w:val="002E5B1F"/>
    <w:rsid w:val="007B360F"/>
    <w:rsid w:val="0086085F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903C4-390F-42FE-A939-D9220852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7B36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B360F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7B360F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7B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7B360F"/>
    <w:rPr>
      <w:b/>
      <w:bCs/>
    </w:rPr>
  </w:style>
  <w:style w:type="character" w:styleId="Hervorhebung">
    <w:name w:val="Emphasis"/>
    <w:basedOn w:val="Absatz-Standardschriftart"/>
    <w:uiPriority w:val="20"/>
    <w:qFormat/>
    <w:rsid w:val="007B36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2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i-hh.us13.list-manage.com/track/click?u=bcdebf7d5cc97dd5f5fb96daa&amp;id=eaab46a89a&amp;e=2022d9daff" TargetMode="External"/><Relationship Id="rId18" Type="http://schemas.openxmlformats.org/officeDocument/2006/relationships/hyperlink" Target="http://ki-hh.us13.list-manage.com/track/click?u=bcdebf7d5cc97dd5f5fb96daa&amp;id=896c5f81ac&amp;e=2022d9daff" TargetMode="External"/><Relationship Id="rId26" Type="http://schemas.openxmlformats.org/officeDocument/2006/relationships/image" Target="media/image4.png"/><Relationship Id="rId3" Type="http://schemas.openxmlformats.org/officeDocument/2006/relationships/webSettings" Target="webSettings.xml"/><Relationship Id="rId21" Type="http://schemas.openxmlformats.org/officeDocument/2006/relationships/hyperlink" Target="http://ki-hh.us13.list-manage.com/track/click?u=bcdebf7d5cc97dd5f5fb96daa&amp;id=9dd043a901&amp;e=2022d9daff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ki-hh.us13.list-manage1.com/track/click?u=bcdebf7d5cc97dd5f5fb96daa&amp;id=47bd2da889&amp;e=2022d9daff" TargetMode="External"/><Relationship Id="rId12" Type="http://schemas.openxmlformats.org/officeDocument/2006/relationships/hyperlink" Target="http://ki-hh.us13.list-manage.com/track/click?u=bcdebf7d5cc97dd5f5fb96daa&amp;id=06cad6989c&amp;e=2022d9daff" TargetMode="External"/><Relationship Id="rId17" Type="http://schemas.openxmlformats.org/officeDocument/2006/relationships/hyperlink" Target="http://ki-hh.us13.list-manage.com/track/click?u=bcdebf7d5cc97dd5f5fb96daa&amp;id=77bd4ad998&amp;e=2022d9daff" TargetMode="External"/><Relationship Id="rId25" Type="http://schemas.openxmlformats.org/officeDocument/2006/relationships/hyperlink" Target="http://ki-hh.us13.list-manage1.com/track/click?u=bcdebf7d5cc97dd5f5fb96daa&amp;id=8c8887dbdb&amp;e=2022d9daff" TargetMode="External"/><Relationship Id="rId33" Type="http://schemas.openxmlformats.org/officeDocument/2006/relationships/hyperlink" Target="http://ki-hh.us13.list-manage.com/unsubscribe?u=bcdebf7d5cc97dd5f5fb96daa&amp;id=160906702d&amp;e=2022d9daff&amp;c=69a74355b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ki-hh.us13.list-manage.com/track/click?u=bcdebf7d5cc97dd5f5fb96daa&amp;id=4a08d99875&amp;e=2022d9daff" TargetMode="External"/><Relationship Id="rId20" Type="http://schemas.openxmlformats.org/officeDocument/2006/relationships/hyperlink" Target="http://ki-hh.us13.list-manage.com/track/click?u=bcdebf7d5cc97dd5f5fb96daa&amp;id=f6f747ac1a&amp;e=2022d9daff" TargetMode="External"/><Relationship Id="rId29" Type="http://schemas.openxmlformats.org/officeDocument/2006/relationships/hyperlink" Target="http://ki-hh.us13.list-manage.com/track/click?u=bcdebf7d5cc97dd5f5fb96daa&amp;id=f08ea5093e&amp;e=2022d9daff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ki-hh.us13.list-manage.com/track/click?u=bcdebf7d5cc97dd5f5fb96daa&amp;id=ead87e608b&amp;e=2022d9daff" TargetMode="External"/><Relationship Id="rId24" Type="http://schemas.openxmlformats.org/officeDocument/2006/relationships/hyperlink" Target="http://ki-hh.us13.list-manage2.com/track/click?u=bcdebf7d5cc97dd5f5fb96daa&amp;id=bdcd82643f&amp;e=2022d9daff" TargetMode="External"/><Relationship Id="rId32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ki-hh.us13.list-manage1.com/track/click?u=bcdebf7d5cc97dd5f5fb96daa&amp;id=371e41dd94&amp;e=2022d9daff" TargetMode="External"/><Relationship Id="rId23" Type="http://schemas.openxmlformats.org/officeDocument/2006/relationships/hyperlink" Target="http://ki-hh.us13.list-manage1.com/track/click?u=bcdebf7d5cc97dd5f5fb96daa&amp;id=f3467d186a&amp;e=2022d9daff" TargetMode="External"/><Relationship Id="rId28" Type="http://schemas.openxmlformats.org/officeDocument/2006/relationships/image" Target="media/image5.png"/><Relationship Id="rId10" Type="http://schemas.openxmlformats.org/officeDocument/2006/relationships/image" Target="media/image3.jpeg"/><Relationship Id="rId19" Type="http://schemas.openxmlformats.org/officeDocument/2006/relationships/hyperlink" Target="http://ki-hh.us13.list-manage.com/track/click?u=bcdebf7d5cc97dd5f5fb96daa&amp;id=b7194bcf01&amp;e=2022d9daff" TargetMode="External"/><Relationship Id="rId31" Type="http://schemas.openxmlformats.org/officeDocument/2006/relationships/hyperlink" Target="mailto:info@konfuzius-institut-hamburg.de" TargetMode="External"/><Relationship Id="rId4" Type="http://schemas.openxmlformats.org/officeDocument/2006/relationships/hyperlink" Target="http://us13.campaign-archive1.com/?u=bcdebf7d5cc97dd5f5fb96daa&amp;id=69a74355b6&amp;e=2022d9daff" TargetMode="External"/><Relationship Id="rId9" Type="http://schemas.openxmlformats.org/officeDocument/2006/relationships/hyperlink" Target="http://ki-hh.us13.list-manage.com/track/click?u=bcdebf7d5cc97dd5f5fb96daa&amp;id=6b827c6cd2&amp;e=2022d9daff" TargetMode="External"/><Relationship Id="rId14" Type="http://schemas.openxmlformats.org/officeDocument/2006/relationships/hyperlink" Target="http://ki-hh.us13.list-manage2.com/track/click?u=bcdebf7d5cc97dd5f5fb96daa&amp;id=76f44923e0&amp;e=2022d9daff" TargetMode="External"/><Relationship Id="rId22" Type="http://schemas.openxmlformats.org/officeDocument/2006/relationships/hyperlink" Target="http://ki-hh.us13.list-manage.com/track/click?u=bcdebf7d5cc97dd5f5fb96daa&amp;id=eda8c4cb43&amp;e=2022d9daff" TargetMode="External"/><Relationship Id="rId27" Type="http://schemas.openxmlformats.org/officeDocument/2006/relationships/hyperlink" Target="http://ki-hh.us13.list-manage.com/track/click?u=bcdebf7d5cc97dd5f5fb96daa&amp;id=4fd19f579a&amp;e=2022d9daff" TargetMode="External"/><Relationship Id="rId30" Type="http://schemas.openxmlformats.org/officeDocument/2006/relationships/image" Target="media/image6.png"/><Relationship Id="rId35" Type="http://schemas.openxmlformats.org/officeDocument/2006/relationships/theme" Target="theme/theme1.xml"/><Relationship Id="rId8" Type="http://schemas.openxmlformats.org/officeDocument/2006/relationships/hyperlink" Target="http://ki-hh.us13.list-manage.com/track/click?u=bcdebf7d5cc97dd5f5fb96daa&amp;id=2072968533&amp;e=2022d9daf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2021-09-15T18:27:00Z</dcterms:created>
  <dcterms:modified xsi:type="dcterms:W3CDTF">2021-09-15T18:28:00Z</dcterms:modified>
</cp:coreProperties>
</file>